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39DC4" w14:textId="242893C2" w:rsidR="000A5D3E" w:rsidRPr="000A5D3E" w:rsidRDefault="000A5D3E" w:rsidP="000A5D3E">
      <w:pPr>
        <w:pStyle w:val="Heading1"/>
        <w:jc w:val="center"/>
        <w:rPr>
          <w:b/>
          <w:u w:val="none"/>
        </w:rPr>
      </w:pPr>
      <w:bookmarkStart w:id="0" w:name="_GoBack"/>
      <w:bookmarkEnd w:id="0"/>
      <w:r w:rsidRPr="000A5D3E">
        <w:rPr>
          <w:b/>
          <w:u w:val="none"/>
        </w:rPr>
        <w:t>Fair Housing Law Reference Guide</w:t>
      </w:r>
      <w:r w:rsidR="00CB0EE2">
        <w:rPr>
          <w:b/>
          <w:u w:val="none"/>
        </w:rPr>
        <w:t xml:space="preserve"> – Reasonable Accommodations</w:t>
      </w:r>
    </w:p>
    <w:p w14:paraId="1A485141" w14:textId="77777777" w:rsidR="000A5D3E" w:rsidRPr="000A5D3E" w:rsidRDefault="000A5D3E" w:rsidP="000A5D3E"/>
    <w:p w14:paraId="6361F790" w14:textId="77777777" w:rsidR="00652137" w:rsidRPr="002A408F" w:rsidRDefault="00652137" w:rsidP="00652137">
      <w:pPr>
        <w:pStyle w:val="Heading1"/>
        <w:rPr>
          <w:b/>
          <w:u w:val="none"/>
        </w:rPr>
      </w:pPr>
      <w:r w:rsidRPr="002A408F">
        <w:rPr>
          <w:b/>
          <w:u w:val="none"/>
        </w:rPr>
        <w:t>Statutes</w:t>
      </w:r>
    </w:p>
    <w:p w14:paraId="40633E0F" w14:textId="77777777" w:rsidR="00652137" w:rsidRDefault="00652137" w:rsidP="00652137">
      <w:pPr>
        <w:rPr>
          <w:szCs w:val="20"/>
        </w:rPr>
      </w:pPr>
    </w:p>
    <w:p w14:paraId="3EE80EFE" w14:textId="76641A03" w:rsidR="00652137" w:rsidRPr="007D08EB" w:rsidRDefault="00652137" w:rsidP="007D08EB">
      <w:pPr>
        <w:numPr>
          <w:ilvl w:val="0"/>
          <w:numId w:val="6"/>
        </w:numPr>
        <w:rPr>
          <w:szCs w:val="20"/>
        </w:rPr>
      </w:pPr>
      <w:r>
        <w:rPr>
          <w:szCs w:val="20"/>
        </w:rPr>
        <w:t>Fair Housing Act.  42 U.S.C. § 3601 et seq.</w:t>
      </w:r>
    </w:p>
    <w:p w14:paraId="3082507D" w14:textId="109EC1AF" w:rsidR="00652137" w:rsidRPr="007D08EB" w:rsidRDefault="00652137" w:rsidP="007D08EB">
      <w:pPr>
        <w:numPr>
          <w:ilvl w:val="0"/>
          <w:numId w:val="6"/>
        </w:numPr>
        <w:rPr>
          <w:szCs w:val="20"/>
        </w:rPr>
      </w:pPr>
      <w:r>
        <w:rPr>
          <w:szCs w:val="20"/>
        </w:rPr>
        <w:t xml:space="preserve">Pennsylvania Human Relations Act, </w:t>
      </w:r>
      <w:proofErr w:type="gramStart"/>
      <w:r>
        <w:rPr>
          <w:szCs w:val="20"/>
        </w:rPr>
        <w:t xml:space="preserve">43 </w:t>
      </w:r>
      <w:proofErr w:type="spellStart"/>
      <w:r>
        <w:rPr>
          <w:szCs w:val="20"/>
        </w:rPr>
        <w:t>Pa.C.S.A</w:t>
      </w:r>
      <w:proofErr w:type="spellEnd"/>
      <w:proofErr w:type="gramEnd"/>
      <w:r>
        <w:rPr>
          <w:szCs w:val="20"/>
        </w:rPr>
        <w:t xml:space="preserve">. </w:t>
      </w:r>
      <w:proofErr w:type="gramStart"/>
      <w:r>
        <w:rPr>
          <w:szCs w:val="20"/>
        </w:rPr>
        <w:t>§951 et seq.</w:t>
      </w:r>
      <w:proofErr w:type="gramEnd"/>
    </w:p>
    <w:p w14:paraId="12569D03" w14:textId="77777777" w:rsidR="00652137" w:rsidRPr="00635D4F" w:rsidRDefault="00652137" w:rsidP="007C6CD1">
      <w:pPr>
        <w:pStyle w:val="ListParagraph"/>
        <w:numPr>
          <w:ilvl w:val="0"/>
          <w:numId w:val="6"/>
        </w:numPr>
        <w:rPr>
          <w:b/>
          <w:bCs/>
        </w:rPr>
      </w:pPr>
      <w:r>
        <w:rPr>
          <w:bCs/>
        </w:rPr>
        <w:t xml:space="preserve">Rehabilitation Act of 1973 (Section 504), 29 U.S.C. </w:t>
      </w:r>
      <w:r>
        <w:rPr>
          <w:szCs w:val="20"/>
        </w:rPr>
        <w:t xml:space="preserve">§ 701 et seq. (Section related to nondiscrimination on the basis of disability in federally-funded housing is </w:t>
      </w:r>
      <w:r>
        <w:rPr>
          <w:bCs/>
        </w:rPr>
        <w:t xml:space="preserve">29 U.S.C. </w:t>
      </w:r>
      <w:r>
        <w:rPr>
          <w:szCs w:val="20"/>
        </w:rPr>
        <w:t>§ 794)</w:t>
      </w:r>
    </w:p>
    <w:p w14:paraId="1FD22826" w14:textId="77777777" w:rsidR="00652137" w:rsidRDefault="00652137" w:rsidP="00652137"/>
    <w:p w14:paraId="3D656F3E" w14:textId="776975C9" w:rsidR="002A408F" w:rsidRPr="002A408F" w:rsidRDefault="002A408F" w:rsidP="00652137">
      <w:pPr>
        <w:rPr>
          <w:b/>
        </w:rPr>
      </w:pPr>
      <w:r w:rsidRPr="002A408F">
        <w:rPr>
          <w:b/>
        </w:rPr>
        <w:t>Selected Case Law</w:t>
      </w:r>
    </w:p>
    <w:p w14:paraId="485F3E44" w14:textId="77777777" w:rsidR="002A408F" w:rsidRDefault="002A408F" w:rsidP="00652137">
      <w:pPr>
        <w:rPr>
          <w:u w:val="single"/>
        </w:rPr>
      </w:pPr>
    </w:p>
    <w:p w14:paraId="6D7858E1" w14:textId="23D89F2D" w:rsidR="00782D9C" w:rsidRPr="00782D9C" w:rsidRDefault="00782D9C" w:rsidP="00652137">
      <w:pPr>
        <w:rPr>
          <w:u w:val="single"/>
        </w:rPr>
      </w:pPr>
      <w:r w:rsidRPr="00782D9C">
        <w:rPr>
          <w:u w:val="single"/>
        </w:rPr>
        <w:t>Definition of Dwelling under Fair Housing Act</w:t>
      </w:r>
    </w:p>
    <w:p w14:paraId="3CF68EAC" w14:textId="77777777" w:rsidR="00782D9C" w:rsidRDefault="00782D9C" w:rsidP="00652137"/>
    <w:p w14:paraId="5CD2EF10" w14:textId="17E7A078" w:rsidR="007C78F0" w:rsidRDefault="00334CA6" w:rsidP="00334CA6">
      <w:pPr>
        <w:numPr>
          <w:ilvl w:val="0"/>
          <w:numId w:val="11"/>
        </w:numPr>
      </w:pPr>
      <w:r>
        <w:rPr>
          <w:i/>
          <w:iCs/>
        </w:rPr>
        <w:t>U</w:t>
      </w:r>
      <w:r w:rsidR="002649F8" w:rsidRPr="00782D9C">
        <w:rPr>
          <w:i/>
          <w:iCs/>
        </w:rPr>
        <w:t>nited States v. Columbus Country Club</w:t>
      </w:r>
      <w:r>
        <w:t>, 915 F.2d 877 (3d Cir. 1990) (s</w:t>
      </w:r>
      <w:r w:rsidRPr="00782D9C">
        <w:t>ummer homes</w:t>
      </w:r>
      <w:r>
        <w:t xml:space="preserve"> included in definition of dwelling under FHA)</w:t>
      </w:r>
    </w:p>
    <w:p w14:paraId="26F9B4FC" w14:textId="77777777" w:rsidR="002913CC" w:rsidRPr="00782D9C" w:rsidRDefault="002913CC" w:rsidP="002913CC">
      <w:pPr>
        <w:ind w:left="720"/>
      </w:pPr>
    </w:p>
    <w:p w14:paraId="232A20BD" w14:textId="125B0AE7" w:rsidR="007C78F0" w:rsidRDefault="002649F8" w:rsidP="00334CA6">
      <w:pPr>
        <w:numPr>
          <w:ilvl w:val="0"/>
          <w:numId w:val="11"/>
        </w:numPr>
      </w:pPr>
      <w:r w:rsidRPr="00782D9C">
        <w:rPr>
          <w:i/>
          <w:iCs/>
        </w:rPr>
        <w:t>Lakeside Resort Enterprises, LP v. Board of Supervisors of Palmyra Township</w:t>
      </w:r>
      <w:r w:rsidR="00334CA6">
        <w:t>, 455 F.3d 154 (3d Cir. 2006) (r</w:t>
      </w:r>
      <w:r w:rsidR="00334CA6" w:rsidRPr="00782D9C">
        <w:t>esidential drug &amp; alcohol treatment facilities</w:t>
      </w:r>
      <w:r w:rsidR="00334CA6">
        <w:t xml:space="preserve"> included in definition of dwelling under FHA</w:t>
      </w:r>
      <w:r w:rsidR="002913CC">
        <w:t>)</w:t>
      </w:r>
    </w:p>
    <w:p w14:paraId="3F82A75A" w14:textId="77777777" w:rsidR="002913CC" w:rsidRPr="00782D9C" w:rsidRDefault="002913CC" w:rsidP="002913CC"/>
    <w:p w14:paraId="2236CA07" w14:textId="3135FBDD" w:rsidR="007C78F0" w:rsidRDefault="002649F8" w:rsidP="00334CA6">
      <w:pPr>
        <w:numPr>
          <w:ilvl w:val="0"/>
          <w:numId w:val="11"/>
        </w:numPr>
      </w:pPr>
      <w:proofErr w:type="spellStart"/>
      <w:r w:rsidRPr="00782D9C">
        <w:rPr>
          <w:i/>
          <w:iCs/>
        </w:rPr>
        <w:t>Hovsons</w:t>
      </w:r>
      <w:proofErr w:type="spellEnd"/>
      <w:r w:rsidRPr="00782D9C">
        <w:rPr>
          <w:i/>
          <w:iCs/>
        </w:rPr>
        <w:t>, Inc. v. Township of Brick</w:t>
      </w:r>
      <w:r w:rsidRPr="00782D9C">
        <w:t xml:space="preserve">, 89 F.3d 1096 (3d Cir. </w:t>
      </w:r>
      <w:r w:rsidR="00334CA6">
        <w:t>1996) (n</w:t>
      </w:r>
      <w:r w:rsidR="00334CA6" w:rsidRPr="00782D9C">
        <w:t>ursing homes</w:t>
      </w:r>
      <w:r w:rsidR="00334CA6">
        <w:t xml:space="preserve"> included in definition of dwelling under FHA)</w:t>
      </w:r>
    </w:p>
    <w:p w14:paraId="1A039AC7" w14:textId="77777777" w:rsidR="002913CC" w:rsidRPr="00782D9C" w:rsidRDefault="002913CC" w:rsidP="002913CC"/>
    <w:p w14:paraId="2AF14071" w14:textId="2C53F4C1" w:rsidR="007C78F0" w:rsidRDefault="002649F8" w:rsidP="00334CA6">
      <w:pPr>
        <w:numPr>
          <w:ilvl w:val="0"/>
          <w:numId w:val="11"/>
        </w:numPr>
      </w:pPr>
      <w:r w:rsidRPr="00782D9C">
        <w:rPr>
          <w:i/>
          <w:iCs/>
        </w:rPr>
        <w:t>New Jersey Coalition of Rooming and Boarding House Owners v. Mayor and Council of City of Asbury Park</w:t>
      </w:r>
      <w:r w:rsidR="00334CA6">
        <w:t>, 152 F.3d 217 (3d Cir. 1998) (boarding and rooming h</w:t>
      </w:r>
      <w:r w:rsidR="00334CA6" w:rsidRPr="00782D9C">
        <w:t>ouses</w:t>
      </w:r>
      <w:r w:rsidR="00334CA6">
        <w:t xml:space="preserve"> included in definition of dwelling under FHA</w:t>
      </w:r>
    </w:p>
    <w:p w14:paraId="4467D7AC" w14:textId="77777777" w:rsidR="002913CC" w:rsidRPr="00782D9C" w:rsidRDefault="002913CC" w:rsidP="002913CC"/>
    <w:p w14:paraId="4601432B" w14:textId="07FBFBAF" w:rsidR="00782D9C" w:rsidRDefault="002649F8" w:rsidP="00334CA6">
      <w:pPr>
        <w:numPr>
          <w:ilvl w:val="0"/>
          <w:numId w:val="11"/>
        </w:numPr>
      </w:pPr>
      <w:r w:rsidRPr="00782D9C">
        <w:rPr>
          <w:i/>
          <w:iCs/>
        </w:rPr>
        <w:t>Cohen v. Township of Cheltenham</w:t>
      </w:r>
      <w:r w:rsidRPr="00782D9C">
        <w:t xml:space="preserve">, 174 </w:t>
      </w:r>
      <w:r w:rsidR="00334CA6">
        <w:t>F. Supp. 2d 307 (E.D. Pa. 2001) (g</w:t>
      </w:r>
      <w:r w:rsidR="00334CA6" w:rsidRPr="00782D9C">
        <w:t>roup homes</w:t>
      </w:r>
      <w:r w:rsidR="00334CA6">
        <w:t xml:space="preserve"> included in definition of dwelling under FHA)</w:t>
      </w:r>
    </w:p>
    <w:p w14:paraId="397AB1D2" w14:textId="77777777" w:rsidR="00782D9C" w:rsidRDefault="00782D9C" w:rsidP="00652137"/>
    <w:p w14:paraId="5C5B0C26" w14:textId="08E48408" w:rsidR="00652137" w:rsidRDefault="00656AB8" w:rsidP="00652137">
      <w:pPr>
        <w:pStyle w:val="Heading1"/>
      </w:pPr>
      <w:r>
        <w:t>Reasonable Accommodations</w:t>
      </w:r>
    </w:p>
    <w:p w14:paraId="2BEDFF8C" w14:textId="77777777" w:rsidR="00652137" w:rsidRDefault="00652137" w:rsidP="007C6CD1"/>
    <w:p w14:paraId="64716D5B" w14:textId="77777777" w:rsidR="00652137" w:rsidRPr="003821AE" w:rsidRDefault="00652137" w:rsidP="007C6CD1">
      <w:pPr>
        <w:pStyle w:val="ListParagraph"/>
        <w:numPr>
          <w:ilvl w:val="0"/>
          <w:numId w:val="5"/>
        </w:numPr>
      </w:pPr>
      <w:r w:rsidRPr="003821AE">
        <w:rPr>
          <w:i/>
        </w:rPr>
        <w:t xml:space="preserve">Lebanon County Housing Authority v. </w:t>
      </w:r>
      <w:proofErr w:type="spellStart"/>
      <w:r w:rsidRPr="003821AE">
        <w:rPr>
          <w:i/>
        </w:rPr>
        <w:t>Landeck</w:t>
      </w:r>
      <w:proofErr w:type="spellEnd"/>
      <w:r w:rsidRPr="003821AE">
        <w:rPr>
          <w:i/>
        </w:rPr>
        <w:t>,</w:t>
      </w:r>
      <w:r w:rsidRPr="003821AE">
        <w:t xml:space="preserve"> 967 A.2d 1009 (Pa. Super. 2009) (enumerating the elements of a reasonable accommodations defense and holding that the trial court should have considered evidence of tenant’s request for reasonable accommodation and Housing Authority’s knowledge of tenant’s disability up to time of trial</w:t>
      </w:r>
      <w:r w:rsidR="00A96E3E" w:rsidRPr="003821AE">
        <w:t xml:space="preserve"> and that lay persons may testify regarding mental illness for purposes of demonstrating the need for a reasonable accommodation</w:t>
      </w:r>
      <w:r w:rsidRPr="003821AE">
        <w:t>).</w:t>
      </w:r>
    </w:p>
    <w:p w14:paraId="6E7D318B" w14:textId="77777777" w:rsidR="00652137" w:rsidRDefault="00652137" w:rsidP="00652137">
      <w:pPr>
        <w:ind w:left="1440"/>
      </w:pPr>
    </w:p>
    <w:p w14:paraId="602F943B" w14:textId="28B6B76D" w:rsidR="008E686F" w:rsidRDefault="00652137" w:rsidP="007D08EB">
      <w:pPr>
        <w:pStyle w:val="ListParagraph"/>
        <w:numPr>
          <w:ilvl w:val="0"/>
          <w:numId w:val="5"/>
        </w:numPr>
      </w:pPr>
      <w:proofErr w:type="spellStart"/>
      <w:r w:rsidRPr="00797D83">
        <w:rPr>
          <w:i/>
        </w:rPr>
        <w:t>Lapid</w:t>
      </w:r>
      <w:proofErr w:type="spellEnd"/>
      <w:r w:rsidRPr="00797D83">
        <w:rPr>
          <w:i/>
        </w:rPr>
        <w:t xml:space="preserve"> Laurel LLC v. Zoning Board of Adjustments of the Township of Scotch Plains et al.</w:t>
      </w:r>
      <w:r>
        <w:t>, 284 F.3d 442 (3rd Cir. 2002) (setting out burden-shifting framework for a Fair Housing Act violation claim for failure to grant a reasonable accommodation, specifically the municipality zoning board’s decision to deny a variance for a nursing home to be built).</w:t>
      </w:r>
    </w:p>
    <w:p w14:paraId="1E7C7AE6" w14:textId="77777777" w:rsidR="003821AE" w:rsidRDefault="003821AE" w:rsidP="003821AE"/>
    <w:p w14:paraId="62F15AA7" w14:textId="6DB2C0EF" w:rsidR="008E686F" w:rsidRDefault="008E686F" w:rsidP="007C6CD1">
      <w:pPr>
        <w:pStyle w:val="ListParagraph"/>
        <w:numPr>
          <w:ilvl w:val="0"/>
          <w:numId w:val="5"/>
        </w:numPr>
      </w:pPr>
      <w:proofErr w:type="spellStart"/>
      <w:r>
        <w:rPr>
          <w:i/>
        </w:rPr>
        <w:lastRenderedPageBreak/>
        <w:t>McKivitz</w:t>
      </w:r>
      <w:proofErr w:type="spellEnd"/>
      <w:r>
        <w:rPr>
          <w:i/>
        </w:rPr>
        <w:t xml:space="preserve"> v. Township of Stowe</w:t>
      </w:r>
      <w:r>
        <w:t xml:space="preserve">, 769 F. Supp.2d 803 (W.D. Pa. 2010) </w:t>
      </w:r>
      <w:r w:rsidRPr="009A61F6">
        <w:t>(explaining plaintiff’s burden to show a nexus between the reasonable accommodation request and the plaintiff’s equal opportunity to enjoy the housing).</w:t>
      </w:r>
    </w:p>
    <w:p w14:paraId="720E4CD7" w14:textId="77777777" w:rsidR="003821AE" w:rsidRDefault="003821AE" w:rsidP="00A96E3E">
      <w:pPr>
        <w:pStyle w:val="Heading1"/>
        <w:ind w:firstLine="720"/>
      </w:pPr>
    </w:p>
    <w:p w14:paraId="053A88EB" w14:textId="41A9EBC4" w:rsidR="00334CA6" w:rsidRDefault="00334CA6" w:rsidP="003821AE">
      <w:pPr>
        <w:pStyle w:val="Heading1"/>
      </w:pPr>
      <w:r>
        <w:t>Reasonable Accommodations &amp; Tenant as Direct Threat</w:t>
      </w:r>
    </w:p>
    <w:p w14:paraId="74914CC1" w14:textId="77777777" w:rsidR="00334CA6" w:rsidRDefault="00334CA6" w:rsidP="00652137"/>
    <w:p w14:paraId="2A44E39E" w14:textId="77777777" w:rsidR="00652137" w:rsidRDefault="00652137" w:rsidP="007C6CD1">
      <w:pPr>
        <w:pStyle w:val="ListParagraph"/>
        <w:numPr>
          <w:ilvl w:val="0"/>
          <w:numId w:val="5"/>
        </w:numPr>
      </w:pPr>
      <w:r w:rsidRPr="00797D83">
        <w:rPr>
          <w:i/>
        </w:rPr>
        <w:t xml:space="preserve">Boston Housing Authority v. </w:t>
      </w:r>
      <w:proofErr w:type="spellStart"/>
      <w:r w:rsidRPr="00797D83">
        <w:rPr>
          <w:i/>
        </w:rPr>
        <w:t>Bridgewaters</w:t>
      </w:r>
      <w:proofErr w:type="spellEnd"/>
      <w:r>
        <w:t>, 898 N.E.2d 848</w:t>
      </w:r>
      <w:r w:rsidRPr="00FC24DF">
        <w:t xml:space="preserve"> (Mass. 2009)</w:t>
      </w:r>
      <w:r>
        <w:t xml:space="preserve"> (holding that </w:t>
      </w:r>
      <w:r w:rsidRPr="00FC24DF">
        <w:t>Housing Authority violated the Fair Housing Act by</w:t>
      </w:r>
      <w:r>
        <w:t xml:space="preserve"> evicting the</w:t>
      </w:r>
      <w:r w:rsidRPr="00FC24DF">
        <w:t xml:space="preserve"> tenant without conducting an “individualized assessment”</w:t>
      </w:r>
      <w:r>
        <w:t xml:space="preserve"> to determine if the tenant posed a direct threat to the health or safety of other residents and Housing Authority staff after</w:t>
      </w:r>
      <w:r w:rsidRPr="00FC24DF">
        <w:t xml:space="preserve"> </w:t>
      </w:r>
      <w:r>
        <w:t>tenant requested reasonable accommodation of staying eviction action).</w:t>
      </w:r>
    </w:p>
    <w:p w14:paraId="2FDCDC12" w14:textId="77777777" w:rsidR="00652137" w:rsidRDefault="00652137" w:rsidP="00652137">
      <w:pPr>
        <w:pStyle w:val="ListParagraph"/>
      </w:pPr>
    </w:p>
    <w:p w14:paraId="46F376CE" w14:textId="77777777" w:rsidR="00652137" w:rsidRDefault="00652137" w:rsidP="007C6CD1">
      <w:pPr>
        <w:pStyle w:val="ListParagraph"/>
        <w:numPr>
          <w:ilvl w:val="0"/>
          <w:numId w:val="5"/>
        </w:numPr>
      </w:pPr>
      <w:r w:rsidRPr="00797D83">
        <w:rPr>
          <w:i/>
        </w:rPr>
        <w:t>Cornwell and Taylor LLP v. Moore</w:t>
      </w:r>
      <w:r w:rsidRPr="00FC24DF">
        <w:t>, 20</w:t>
      </w:r>
      <w:r>
        <w:t>00 Minn. App. LEXIS 1317 (Minn. Ct. App. Dec 22, 2000) (determining</w:t>
      </w:r>
      <w:r w:rsidRPr="00FC24DF">
        <w:t xml:space="preserve"> that a mobile home park operator did not meet its burden of showing that there was no reasonable accommodation that would eliminate or reduce the risk that the tenant</w:t>
      </w:r>
      <w:r>
        <w:t xml:space="preserve"> </w:t>
      </w:r>
      <w:r w:rsidRPr="00FC24DF">
        <w:t>posed a direc</w:t>
      </w:r>
      <w:r>
        <w:t xml:space="preserve">t threat to the other residents, even though tenant, while in a delusional state, had previously </w:t>
      </w:r>
      <w:r w:rsidRPr="00FC24DF">
        <w:t xml:space="preserve">assaulted his wife </w:t>
      </w:r>
      <w:r>
        <w:t xml:space="preserve">in their mobile home </w:t>
      </w:r>
      <w:r w:rsidRPr="00FC24DF">
        <w:t>and</w:t>
      </w:r>
      <w:r>
        <w:t xml:space="preserve"> had taken </w:t>
      </w:r>
      <w:r w:rsidRPr="00FC24DF">
        <w:t>a load</w:t>
      </w:r>
      <w:r>
        <w:t>ed rifle to a public area adjoining the mobile home park).</w:t>
      </w:r>
    </w:p>
    <w:p w14:paraId="01798D1B" w14:textId="77777777" w:rsidR="005C78B2" w:rsidRDefault="005C78B2" w:rsidP="005C78B2">
      <w:pPr>
        <w:pStyle w:val="ListParagraph"/>
      </w:pPr>
    </w:p>
    <w:p w14:paraId="26901B71" w14:textId="62623275" w:rsidR="005C78B2" w:rsidRDefault="005C78B2" w:rsidP="007C6CD1">
      <w:pPr>
        <w:pStyle w:val="ListParagraph"/>
        <w:numPr>
          <w:ilvl w:val="0"/>
          <w:numId w:val="5"/>
        </w:numPr>
      </w:pPr>
      <w:r>
        <w:rPr>
          <w:i/>
        </w:rPr>
        <w:t>Roe v. Sugar Mills Associates</w:t>
      </w:r>
      <w:r>
        <w:t xml:space="preserve">, </w:t>
      </w:r>
      <w:r w:rsidR="00765385">
        <w:t>820 F. Supp. 636 (D. N.H. 1993).</w:t>
      </w:r>
    </w:p>
    <w:p w14:paraId="6CDE9DD3" w14:textId="77777777" w:rsidR="005C78B2" w:rsidRDefault="005C78B2" w:rsidP="005C78B2">
      <w:pPr>
        <w:pStyle w:val="ListParagraph"/>
      </w:pPr>
    </w:p>
    <w:p w14:paraId="4CC2EBD8" w14:textId="633FFA0C" w:rsidR="005C78B2" w:rsidRDefault="005C78B2" w:rsidP="007C6CD1">
      <w:pPr>
        <w:pStyle w:val="ListParagraph"/>
        <w:numPr>
          <w:ilvl w:val="0"/>
          <w:numId w:val="5"/>
        </w:numPr>
      </w:pPr>
      <w:r>
        <w:rPr>
          <w:i/>
        </w:rPr>
        <w:t>Roe v. Housing Authority of the City of Boulder</w:t>
      </w:r>
      <w:r>
        <w:t>, 909 F. Supp. 814 (D. Colo</w:t>
      </w:r>
      <w:r w:rsidR="00765385">
        <w:t>. 1995).</w:t>
      </w:r>
    </w:p>
    <w:p w14:paraId="052195A1" w14:textId="77777777" w:rsidR="00652137" w:rsidRDefault="00652137" w:rsidP="00652137"/>
    <w:p w14:paraId="3E1E6EF9" w14:textId="2EC69545" w:rsidR="00334CA6" w:rsidRPr="00334CA6" w:rsidRDefault="00334CA6" w:rsidP="00334CA6">
      <w:pPr>
        <w:pStyle w:val="Heading1"/>
        <w:rPr>
          <w:u w:val="none"/>
        </w:rPr>
      </w:pPr>
      <w:r>
        <w:t>Service and Emotional Support Animals</w:t>
      </w:r>
    </w:p>
    <w:p w14:paraId="7593996F" w14:textId="77777777" w:rsidR="00334CA6" w:rsidRDefault="00334CA6">
      <w:pPr>
        <w:spacing w:line="276" w:lineRule="auto"/>
        <w:rPr>
          <w:u w:val="single"/>
        </w:rPr>
      </w:pPr>
    </w:p>
    <w:p w14:paraId="3A721C1A" w14:textId="77777777" w:rsidR="00334CA6" w:rsidRDefault="00334CA6" w:rsidP="00334CA6">
      <w:pPr>
        <w:pStyle w:val="ListParagraph"/>
        <w:numPr>
          <w:ilvl w:val="0"/>
          <w:numId w:val="5"/>
        </w:numPr>
      </w:pPr>
      <w:proofErr w:type="spellStart"/>
      <w:r w:rsidRPr="00797D83">
        <w:rPr>
          <w:i/>
        </w:rPr>
        <w:t>Fulciniti</w:t>
      </w:r>
      <w:proofErr w:type="spellEnd"/>
      <w:r w:rsidRPr="00797D83">
        <w:rPr>
          <w:i/>
        </w:rPr>
        <w:t xml:space="preserve"> v. Village of Shadyside Condominium Association</w:t>
      </w:r>
      <w:r>
        <w:t>, 1998 U.S. Dist. LEXIS 23450 (W.D. Pa. November 20, 1998) (finding that Condominium Association violated the Fair Housing Act by refusing to grant a reasonable accommodation of allowing a service animal for a condominium owner with a disability).</w:t>
      </w:r>
    </w:p>
    <w:p w14:paraId="5A5CACA8" w14:textId="77777777" w:rsidR="0022097D" w:rsidRDefault="0022097D" w:rsidP="0022097D">
      <w:pPr>
        <w:pStyle w:val="ListParagraph"/>
      </w:pPr>
    </w:p>
    <w:p w14:paraId="1B559B89" w14:textId="65692A7D" w:rsidR="00F571F5" w:rsidRPr="00F571F5" w:rsidRDefault="00F571F5" w:rsidP="00334CA6">
      <w:pPr>
        <w:pStyle w:val="ListParagraph"/>
        <w:numPr>
          <w:ilvl w:val="0"/>
          <w:numId w:val="5"/>
        </w:numPr>
      </w:pPr>
      <w:r>
        <w:rPr>
          <w:i/>
        </w:rPr>
        <w:t>Overlook Mutual Homes v. Vickie Spencer</w:t>
      </w:r>
      <w:r>
        <w:t>, 666 F. Supp. 2d 850 (S.D. Ohio 2009) (holding that emotional support animals do not have to be individually trained).</w:t>
      </w:r>
    </w:p>
    <w:p w14:paraId="3E3C9B08" w14:textId="77777777" w:rsidR="00F571F5" w:rsidRPr="00F571F5" w:rsidRDefault="00F571F5" w:rsidP="00F571F5">
      <w:pPr>
        <w:pStyle w:val="ListParagraph"/>
        <w:rPr>
          <w:i/>
        </w:rPr>
      </w:pPr>
    </w:p>
    <w:p w14:paraId="544E493E" w14:textId="3D4E8BFD" w:rsidR="0022097D" w:rsidRDefault="0022097D" w:rsidP="00334CA6">
      <w:pPr>
        <w:pStyle w:val="ListParagraph"/>
        <w:numPr>
          <w:ilvl w:val="0"/>
          <w:numId w:val="5"/>
        </w:numPr>
      </w:pPr>
      <w:r>
        <w:rPr>
          <w:i/>
        </w:rPr>
        <w:t>Green v. Housing Authority of Clackamas County</w:t>
      </w:r>
      <w:r>
        <w:t>, 994 F. Supp. 1253 (D. Ore. 1998) (holding that an assistance animal is not required to be trained by a certified trainer).</w:t>
      </w:r>
    </w:p>
    <w:p w14:paraId="74E93AFB" w14:textId="77777777" w:rsidR="00334CA6" w:rsidRDefault="00334CA6">
      <w:pPr>
        <w:spacing w:line="276" w:lineRule="auto"/>
        <w:rPr>
          <w:u w:val="single"/>
        </w:rPr>
      </w:pPr>
    </w:p>
    <w:p w14:paraId="5143BC06" w14:textId="2E911FA7" w:rsidR="002A408F" w:rsidRPr="002A408F" w:rsidRDefault="002A408F" w:rsidP="00652137">
      <w:pPr>
        <w:rPr>
          <w:b/>
        </w:rPr>
      </w:pPr>
      <w:r w:rsidRPr="002A408F">
        <w:rPr>
          <w:b/>
        </w:rPr>
        <w:t>Administrative Agency Materials</w:t>
      </w:r>
    </w:p>
    <w:p w14:paraId="68620D27" w14:textId="77777777" w:rsidR="002A408F" w:rsidRDefault="002A408F" w:rsidP="00652137">
      <w:pPr>
        <w:rPr>
          <w:u w:val="single"/>
        </w:rPr>
      </w:pPr>
    </w:p>
    <w:p w14:paraId="6D29178F" w14:textId="482A6503" w:rsidR="00274D49" w:rsidRPr="003821AE" w:rsidRDefault="00274D49" w:rsidP="00652137">
      <w:pPr>
        <w:rPr>
          <w:u w:val="single"/>
        </w:rPr>
      </w:pPr>
      <w:r w:rsidRPr="003821AE">
        <w:rPr>
          <w:u w:val="single"/>
        </w:rPr>
        <w:t>Reasonable Accommodations - General</w:t>
      </w:r>
    </w:p>
    <w:p w14:paraId="5C79C614" w14:textId="77777777" w:rsidR="00274D49" w:rsidRDefault="00274D49" w:rsidP="00652137"/>
    <w:p w14:paraId="001B36F1" w14:textId="7D9C49EE" w:rsidR="0005706B" w:rsidRDefault="0005706B" w:rsidP="00652137">
      <w:pPr>
        <w:pStyle w:val="ListParagraph"/>
        <w:numPr>
          <w:ilvl w:val="0"/>
          <w:numId w:val="8"/>
        </w:numPr>
      </w:pPr>
      <w:r>
        <w:t xml:space="preserve">Joint Statement of the Department of Justice &amp; Department of Housing and Urban Development, Reasonable Accommodations Under the Fair Housing Act (May 17, 2004) </w:t>
      </w:r>
      <w:r w:rsidR="00A96E3E" w:rsidRPr="003821AE">
        <w:t>http://www.hud.gov/offices/fheo/library/huddojstatement.pdf</w:t>
      </w:r>
    </w:p>
    <w:p w14:paraId="4E4F2D04" w14:textId="77777777" w:rsidR="00A96E3E" w:rsidRDefault="00A96E3E" w:rsidP="00A96E3E">
      <w:pPr>
        <w:pStyle w:val="ListParagraph"/>
      </w:pPr>
    </w:p>
    <w:p w14:paraId="2F27EB43" w14:textId="77777777" w:rsidR="005E5FAF" w:rsidRDefault="005E5FAF">
      <w:pPr>
        <w:spacing w:line="276" w:lineRule="auto"/>
        <w:rPr>
          <w:u w:val="single"/>
        </w:rPr>
      </w:pPr>
      <w:r>
        <w:rPr>
          <w:u w:val="single"/>
        </w:rPr>
        <w:br w:type="page"/>
      </w:r>
    </w:p>
    <w:p w14:paraId="0D09A4A4" w14:textId="23D7F6E8" w:rsidR="00274D49" w:rsidRPr="003821AE" w:rsidRDefault="00274D49" w:rsidP="00652137">
      <w:pPr>
        <w:rPr>
          <w:u w:val="single"/>
        </w:rPr>
      </w:pPr>
      <w:r w:rsidRPr="003821AE">
        <w:rPr>
          <w:u w:val="single"/>
        </w:rPr>
        <w:lastRenderedPageBreak/>
        <w:t>Reasonable Accommodations – Service Animals &amp; Emotional Support Animals</w:t>
      </w:r>
    </w:p>
    <w:p w14:paraId="08CD11B9" w14:textId="77777777" w:rsidR="00274D49" w:rsidRDefault="00274D49" w:rsidP="00652137"/>
    <w:p w14:paraId="6CDE8B16" w14:textId="4A6AB472" w:rsidR="0005706B" w:rsidRDefault="0005706B" w:rsidP="0005706B">
      <w:pPr>
        <w:pStyle w:val="ListParagraph"/>
        <w:numPr>
          <w:ilvl w:val="0"/>
          <w:numId w:val="8"/>
        </w:numPr>
      </w:pPr>
      <w:r>
        <w:t xml:space="preserve">Department </w:t>
      </w:r>
      <w:r w:rsidR="00CA2207">
        <w:t>o</w:t>
      </w:r>
      <w:r>
        <w:t xml:space="preserve">f Housing And Urban Development, New ADA Regulations and Assistance Animals as Reasonable Accommodations under the Fair Housing Act and Section 504 of the Rehabilitation Act of 1973 (February 17, 2011) </w:t>
      </w:r>
      <w:r w:rsidRPr="008647AC">
        <w:t>http://www.fairhousing.com/include/media/pdf/serviceanimalmemo.pdf</w:t>
      </w:r>
    </w:p>
    <w:p w14:paraId="308ABFE2" w14:textId="77777777" w:rsidR="0005706B" w:rsidRDefault="0005706B" w:rsidP="0005706B"/>
    <w:p w14:paraId="55F0025D" w14:textId="75DB0760" w:rsidR="0005706B" w:rsidRDefault="00CA2207" w:rsidP="0005706B">
      <w:pPr>
        <w:pStyle w:val="ListParagraph"/>
        <w:numPr>
          <w:ilvl w:val="0"/>
          <w:numId w:val="8"/>
        </w:numPr>
      </w:pPr>
      <w:r>
        <w:t>Department o</w:t>
      </w:r>
      <w:r w:rsidR="0005706B">
        <w:t>f Housing And Urban Development, Service Animals and Assistance Animals for People with Disabilities in Housing and HUD-Funded Programs (April 25, 2013) (FHEO-2013-01), available at</w:t>
      </w:r>
    </w:p>
    <w:p w14:paraId="6B0E20E8" w14:textId="26B1C104" w:rsidR="0005706B" w:rsidRDefault="00CA2207" w:rsidP="0005706B">
      <w:pPr>
        <w:ind w:left="720"/>
      </w:pPr>
      <w:r w:rsidRPr="00CA2207">
        <w:t>http://portal.hud.gov/hudportal/HUD?src=/program_offices/administration/hudclips/notices/fheo</w:t>
      </w:r>
    </w:p>
    <w:p w14:paraId="2E59AF4C" w14:textId="77777777" w:rsidR="00CA2207" w:rsidRDefault="00CA2207" w:rsidP="0005706B">
      <w:pPr>
        <w:ind w:left="720"/>
      </w:pPr>
    </w:p>
    <w:p w14:paraId="23B4B6AB" w14:textId="32A105F2" w:rsidR="00CA2207" w:rsidRDefault="00CA2207" w:rsidP="00CA2207">
      <w:pPr>
        <w:pStyle w:val="ListParagraph"/>
        <w:numPr>
          <w:ilvl w:val="0"/>
          <w:numId w:val="8"/>
        </w:numPr>
      </w:pPr>
      <w:r>
        <w:t xml:space="preserve">Department of Housing And Urban Development (Bryan Green), Insurance Policy Restrictions as a Defense for Refusals to Make a Reasonable Accommodation (June 12, 2006) available at </w:t>
      </w:r>
      <w:r w:rsidRPr="00CA2207">
        <w:t>http://www.fairhousing.com/include/media/pdf/insuranceguidance.pdf</w:t>
      </w:r>
    </w:p>
    <w:p w14:paraId="18115B0C" w14:textId="17D4F4F6" w:rsidR="0005706B" w:rsidRDefault="0005706B" w:rsidP="00652137"/>
    <w:p w14:paraId="3E2D9CD5" w14:textId="76E65AD0" w:rsidR="00274D49" w:rsidRPr="003821AE" w:rsidRDefault="00274D49" w:rsidP="00652137">
      <w:pPr>
        <w:rPr>
          <w:u w:val="single"/>
        </w:rPr>
      </w:pPr>
      <w:r w:rsidRPr="003821AE">
        <w:rPr>
          <w:u w:val="single"/>
        </w:rPr>
        <w:t>Reasonable Modifications</w:t>
      </w:r>
    </w:p>
    <w:p w14:paraId="356258C1" w14:textId="77777777" w:rsidR="00274D49" w:rsidRDefault="00274D49" w:rsidP="00652137"/>
    <w:p w14:paraId="674D57E7" w14:textId="20F05555" w:rsidR="00274D49" w:rsidRDefault="00274D49" w:rsidP="00652137">
      <w:pPr>
        <w:pStyle w:val="ListParagraph"/>
        <w:numPr>
          <w:ilvl w:val="0"/>
          <w:numId w:val="8"/>
        </w:numPr>
      </w:pPr>
      <w:r>
        <w:t xml:space="preserve">Joint Statement of the Department of Justice &amp; Department of Housing and Urban Development, Reasonable Modifications Under the Fair Housing Act (March 5, 2008) </w:t>
      </w:r>
      <w:r w:rsidRPr="00A84303">
        <w:t>http://www.hud.gov/offices/fheo/disabilities/reasonable_modifications_mar08.pdf</w:t>
      </w:r>
    </w:p>
    <w:p w14:paraId="1D322A23" w14:textId="77777777" w:rsidR="00274D49" w:rsidRDefault="00274D49" w:rsidP="00652137"/>
    <w:p w14:paraId="1763203D" w14:textId="54C0334A" w:rsidR="00652137" w:rsidRPr="003821AE" w:rsidRDefault="00274D49" w:rsidP="00652137">
      <w:pPr>
        <w:rPr>
          <w:u w:val="single"/>
        </w:rPr>
      </w:pPr>
      <w:r w:rsidRPr="003821AE">
        <w:rPr>
          <w:u w:val="single"/>
        </w:rPr>
        <w:t>Accessible Construction &amp; Design Requirements</w:t>
      </w:r>
    </w:p>
    <w:p w14:paraId="5DD7C47D" w14:textId="77777777" w:rsidR="00D93CAD" w:rsidRDefault="00D93CAD" w:rsidP="0005706B"/>
    <w:p w14:paraId="3999E892" w14:textId="77777777" w:rsidR="00D93CAD" w:rsidRDefault="00D93CAD" w:rsidP="00D93CAD">
      <w:pPr>
        <w:pStyle w:val="ListParagraph"/>
        <w:numPr>
          <w:ilvl w:val="0"/>
          <w:numId w:val="8"/>
        </w:numPr>
      </w:pPr>
      <w:r>
        <w:t>Joint Statement of the Department of Justice &amp; Department of Housing and Urban Development, Accessibility (Design and Construction) Requirements for Covered Multifamily Dwellings Under the Fair Housing Act (April 30, 2013)</w:t>
      </w:r>
      <w:r w:rsidRPr="00D93CAD">
        <w:t xml:space="preserve"> http://portal.hud.gov/hudportal/documents/huddoc?id=JOINTSTATEMENT.PDF</w:t>
      </w:r>
    </w:p>
    <w:p w14:paraId="5D7A022E" w14:textId="2CB2983F" w:rsidR="009A61F6" w:rsidRDefault="009A61F6">
      <w:pPr>
        <w:spacing w:line="276" w:lineRule="auto"/>
      </w:pPr>
    </w:p>
    <w:p w14:paraId="4CED062F" w14:textId="0AEA66E4" w:rsidR="0005706B" w:rsidRPr="003821AE" w:rsidRDefault="0005706B" w:rsidP="00652137">
      <w:pPr>
        <w:rPr>
          <w:u w:val="single"/>
        </w:rPr>
      </w:pPr>
      <w:r w:rsidRPr="003821AE">
        <w:rPr>
          <w:u w:val="single"/>
        </w:rPr>
        <w:t>FHA &amp; Low Income Housing Tax Credit Properties</w:t>
      </w:r>
    </w:p>
    <w:p w14:paraId="29BF7A55" w14:textId="77777777" w:rsidR="0027706C" w:rsidRDefault="0027706C" w:rsidP="0027706C">
      <w:pPr>
        <w:pStyle w:val="ListParagraph"/>
      </w:pPr>
    </w:p>
    <w:p w14:paraId="0AC50C9D" w14:textId="77777777" w:rsidR="0005706B" w:rsidRDefault="0005706B" w:rsidP="0005706B">
      <w:pPr>
        <w:pStyle w:val="ListParagraph"/>
        <w:numPr>
          <w:ilvl w:val="0"/>
          <w:numId w:val="8"/>
        </w:numPr>
      </w:pPr>
      <w:r>
        <w:t xml:space="preserve">Memorandum Of Understanding Among The Department Of The Treasury, The Department Of Housing And Urban Development, and The Department Of Justice regarding Low Income Housing Tax Credit Properties’ Compliance with the Fair Housing Act (August 11, 2000) </w:t>
      </w:r>
      <w:r w:rsidRPr="00D93CAD">
        <w:t>http://portal.hud.gov/hudportal/HUD?src=/program_offices/fair_housing_equal_opp/lihtcmou</w:t>
      </w:r>
    </w:p>
    <w:p w14:paraId="357911D8" w14:textId="77777777" w:rsidR="007D08EB" w:rsidRDefault="007D08EB" w:rsidP="00652137">
      <w:pPr>
        <w:rPr>
          <w:u w:val="single"/>
        </w:rPr>
      </w:pPr>
    </w:p>
    <w:p w14:paraId="0EE0B66D" w14:textId="149F74D3" w:rsidR="00652137" w:rsidRDefault="00652137" w:rsidP="00652137">
      <w:r>
        <w:rPr>
          <w:u w:val="single"/>
        </w:rPr>
        <w:t>Section 504 of the Rehabilitation Act of 1973</w:t>
      </w:r>
    </w:p>
    <w:p w14:paraId="5DC31E9B" w14:textId="77777777" w:rsidR="00652137" w:rsidRDefault="00652137" w:rsidP="00652137"/>
    <w:p w14:paraId="217A0431" w14:textId="77777777" w:rsidR="009E5B33" w:rsidRDefault="00652137" w:rsidP="009E5B33">
      <w:pPr>
        <w:pStyle w:val="ListParagraph"/>
        <w:numPr>
          <w:ilvl w:val="0"/>
          <w:numId w:val="9"/>
        </w:numPr>
      </w:pPr>
      <w:r>
        <w:t>Department of Housing and Urban Development, Section 504 Frequently Asked Questions</w:t>
      </w:r>
    </w:p>
    <w:p w14:paraId="457D700F" w14:textId="16F96275" w:rsidR="00652137" w:rsidRDefault="003821AE" w:rsidP="007D08EB">
      <w:pPr>
        <w:pStyle w:val="ListParagraph"/>
      </w:pPr>
      <w:r w:rsidRPr="003821AE">
        <w:t>http://portal.hud.gov/hudportal/HUD?src=/program_offices/fair_housing_equal_opp/disabilities/sect504faq</w:t>
      </w:r>
    </w:p>
    <w:p w14:paraId="6FCD22B3" w14:textId="77777777" w:rsidR="003821AE" w:rsidRDefault="003821AE" w:rsidP="007D08EB">
      <w:pPr>
        <w:pStyle w:val="ListParagraph"/>
      </w:pPr>
    </w:p>
    <w:p w14:paraId="7840C983" w14:textId="77777777" w:rsidR="00652137" w:rsidRDefault="00652137" w:rsidP="009E5B33">
      <w:pPr>
        <w:pStyle w:val="ListParagraph"/>
        <w:numPr>
          <w:ilvl w:val="0"/>
          <w:numId w:val="9"/>
        </w:numPr>
      </w:pPr>
      <w:r>
        <w:t>Department Of Housing And Urban Development, New ADA Regulations and Assistance Animals as Reasonable Accommodations under the Fair Housing Act and Section 504 of the Rehabilitation Act of 1973 (February 17, 2011)</w:t>
      </w:r>
    </w:p>
    <w:p w14:paraId="5FC86C75" w14:textId="3AA426FD" w:rsidR="002A408F" w:rsidRDefault="00652137" w:rsidP="0027706C">
      <w:pPr>
        <w:pStyle w:val="ListParagraph"/>
      </w:pPr>
      <w:r w:rsidRPr="00747601">
        <w:t>http://www.fairhousing.com/include/media/pdf/serviceanimalmemo.pdf</w:t>
      </w:r>
    </w:p>
    <w:sectPr w:rsidR="002A408F" w:rsidSect="007D08EB">
      <w:headerReference w:type="default" r:id="rId8"/>
      <w:footerReference w:type="default" r:id="rId9"/>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7E872" w14:textId="77777777" w:rsidR="00B74671" w:rsidRDefault="00B74671" w:rsidP="0027706C">
      <w:r>
        <w:separator/>
      </w:r>
    </w:p>
  </w:endnote>
  <w:endnote w:type="continuationSeparator" w:id="0">
    <w:p w14:paraId="749722A7" w14:textId="77777777" w:rsidR="00B74671" w:rsidRDefault="00B74671" w:rsidP="0027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946F5" w14:textId="5044F11E" w:rsidR="002649F8" w:rsidRPr="002649F8" w:rsidRDefault="002649F8">
    <w:pPr>
      <w:pStyle w:val="Footer"/>
      <w:rPr>
        <w:sz w:val="20"/>
        <w:szCs w:val="20"/>
      </w:rPr>
    </w:pPr>
    <w:r w:rsidRPr="002649F8">
      <w:rPr>
        <w:sz w:val="20"/>
        <w:szCs w:val="20"/>
      </w:rPr>
      <w:t xml:space="preserve">Updated </w:t>
    </w:r>
    <w:r w:rsidR="003821AE">
      <w:rPr>
        <w:sz w:val="20"/>
        <w:szCs w:val="20"/>
      </w:rPr>
      <w:t>November</w:t>
    </w:r>
    <w:r w:rsidRPr="002649F8">
      <w:rPr>
        <w:sz w:val="20"/>
        <w:szCs w:val="20"/>
      </w:rPr>
      <w:t xml:space="preserve">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E7141" w14:textId="77777777" w:rsidR="00B74671" w:rsidRDefault="00B74671" w:rsidP="0027706C">
      <w:r>
        <w:separator/>
      </w:r>
    </w:p>
  </w:footnote>
  <w:footnote w:type="continuationSeparator" w:id="0">
    <w:p w14:paraId="41BD20D8" w14:textId="77777777" w:rsidR="00B74671" w:rsidRDefault="00B74671" w:rsidP="002770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C70ED" w14:textId="6C2FA8B2" w:rsidR="002649F8" w:rsidRPr="002649F8" w:rsidRDefault="002649F8" w:rsidP="002649F8">
    <w:pPr>
      <w:pStyle w:val="Heading1"/>
      <w:rPr>
        <w:sz w:val="20"/>
        <w:szCs w:val="20"/>
        <w:u w:val="none"/>
      </w:rPr>
    </w:pPr>
    <w:r w:rsidRPr="002649F8">
      <w:rPr>
        <w:sz w:val="20"/>
        <w:szCs w:val="20"/>
        <w:u w:val="none"/>
      </w:rPr>
      <w:t>Fair Housing Law Reference Guide</w:t>
    </w:r>
    <w:r w:rsidRPr="002649F8">
      <w:rPr>
        <w:sz w:val="20"/>
        <w:szCs w:val="20"/>
        <w:u w:val="none"/>
      </w:rPr>
      <w:tab/>
    </w:r>
    <w:r w:rsidR="00A74EE4">
      <w:rPr>
        <w:sz w:val="20"/>
        <w:szCs w:val="20"/>
        <w:u w:val="none"/>
      </w:rPr>
      <w:t xml:space="preserve"> - </w:t>
    </w:r>
    <w:r w:rsidR="00A74EE4" w:rsidRPr="00A74EE4">
      <w:rPr>
        <w:sz w:val="20"/>
        <w:szCs w:val="20"/>
        <w:u w:val="none"/>
      </w:rPr>
      <w:t>Reasonable Accommodations</w:t>
    </w:r>
    <w:r w:rsidRPr="002649F8">
      <w:rPr>
        <w:sz w:val="20"/>
        <w:szCs w:val="20"/>
        <w:u w:val="none"/>
      </w:rPr>
      <w:tab/>
    </w:r>
    <w:r w:rsidRPr="002649F8">
      <w:rPr>
        <w:sz w:val="20"/>
        <w:szCs w:val="20"/>
        <w:u w:val="none"/>
      </w:rPr>
      <w:tab/>
    </w:r>
    <w:r w:rsidRPr="002649F8">
      <w:rPr>
        <w:sz w:val="20"/>
        <w:szCs w:val="20"/>
        <w:u w:val="none"/>
      </w:rPr>
      <w:tab/>
    </w:r>
    <w:r w:rsidRPr="002649F8">
      <w:rPr>
        <w:sz w:val="20"/>
        <w:szCs w:val="20"/>
        <w:u w:val="none"/>
      </w:rPr>
      <w:tab/>
    </w:r>
    <w:r w:rsidRPr="002649F8">
      <w:rPr>
        <w:sz w:val="20"/>
        <w:szCs w:val="20"/>
        <w:u w:val="none"/>
      </w:rPr>
      <w:tab/>
      <w:t xml:space="preserve">Page </w:t>
    </w:r>
    <w:r w:rsidRPr="002649F8">
      <w:rPr>
        <w:sz w:val="20"/>
        <w:szCs w:val="20"/>
        <w:u w:val="none"/>
      </w:rPr>
      <w:fldChar w:fldCharType="begin"/>
    </w:r>
    <w:r w:rsidRPr="002649F8">
      <w:rPr>
        <w:sz w:val="20"/>
        <w:szCs w:val="20"/>
        <w:u w:val="none"/>
      </w:rPr>
      <w:instrText xml:space="preserve"> PAGE   \* MERGEFORMAT </w:instrText>
    </w:r>
    <w:r w:rsidRPr="002649F8">
      <w:rPr>
        <w:sz w:val="20"/>
        <w:szCs w:val="20"/>
        <w:u w:val="none"/>
      </w:rPr>
      <w:fldChar w:fldCharType="separate"/>
    </w:r>
    <w:r w:rsidR="002306C5">
      <w:rPr>
        <w:noProof/>
        <w:sz w:val="20"/>
        <w:szCs w:val="20"/>
        <w:u w:val="none"/>
      </w:rPr>
      <w:t>3</w:t>
    </w:r>
    <w:r w:rsidRPr="002649F8">
      <w:rPr>
        <w:noProof/>
        <w:sz w:val="20"/>
        <w:szCs w:val="20"/>
        <w:u w:val="none"/>
      </w:rPr>
      <w:fldChar w:fldCharType="end"/>
    </w:r>
    <w:r w:rsidRPr="002649F8">
      <w:rPr>
        <w:noProof/>
        <w:sz w:val="20"/>
        <w:szCs w:val="20"/>
        <w:u w:val="none"/>
      </w:rPr>
      <w:t xml:space="preserve"> of </w:t>
    </w:r>
    <w:r w:rsidR="00A74EE4">
      <w:rPr>
        <w:noProof/>
        <w:sz w:val="20"/>
        <w:szCs w:val="20"/>
        <w:u w:val="none"/>
      </w:rPr>
      <w:t>3</w:t>
    </w:r>
  </w:p>
  <w:p w14:paraId="6E1340AA" w14:textId="77777777" w:rsidR="002649F8" w:rsidRDefault="002649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F4A77"/>
    <w:multiLevelType w:val="hybridMultilevel"/>
    <w:tmpl w:val="0C98A2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734FF"/>
    <w:multiLevelType w:val="hybridMultilevel"/>
    <w:tmpl w:val="CB8AE0CC"/>
    <w:lvl w:ilvl="0" w:tplc="04090001">
      <w:start w:val="1"/>
      <w:numFmt w:val="bullet"/>
      <w:lvlText w:val=""/>
      <w:lvlJc w:val="left"/>
      <w:pPr>
        <w:tabs>
          <w:tab w:val="num" w:pos="720"/>
        </w:tabs>
        <w:ind w:left="720" w:hanging="360"/>
      </w:pPr>
      <w:rPr>
        <w:rFonts w:ascii="Symbol" w:hAnsi="Symbol" w:hint="default"/>
      </w:rPr>
    </w:lvl>
    <w:lvl w:ilvl="1" w:tplc="02664C44" w:tentative="1">
      <w:start w:val="1"/>
      <w:numFmt w:val="bullet"/>
      <w:lvlText w:val="•"/>
      <w:lvlJc w:val="left"/>
      <w:pPr>
        <w:tabs>
          <w:tab w:val="num" w:pos="1440"/>
        </w:tabs>
        <w:ind w:left="1440" w:hanging="360"/>
      </w:pPr>
      <w:rPr>
        <w:rFonts w:ascii="Arial" w:hAnsi="Arial" w:hint="default"/>
      </w:rPr>
    </w:lvl>
    <w:lvl w:ilvl="2" w:tplc="538A28EE" w:tentative="1">
      <w:start w:val="1"/>
      <w:numFmt w:val="bullet"/>
      <w:lvlText w:val="•"/>
      <w:lvlJc w:val="left"/>
      <w:pPr>
        <w:tabs>
          <w:tab w:val="num" w:pos="2160"/>
        </w:tabs>
        <w:ind w:left="2160" w:hanging="360"/>
      </w:pPr>
      <w:rPr>
        <w:rFonts w:ascii="Arial" w:hAnsi="Arial" w:hint="default"/>
      </w:rPr>
    </w:lvl>
    <w:lvl w:ilvl="3" w:tplc="B96C1E86" w:tentative="1">
      <w:start w:val="1"/>
      <w:numFmt w:val="bullet"/>
      <w:lvlText w:val="•"/>
      <w:lvlJc w:val="left"/>
      <w:pPr>
        <w:tabs>
          <w:tab w:val="num" w:pos="2880"/>
        </w:tabs>
        <w:ind w:left="2880" w:hanging="360"/>
      </w:pPr>
      <w:rPr>
        <w:rFonts w:ascii="Arial" w:hAnsi="Arial" w:hint="default"/>
      </w:rPr>
    </w:lvl>
    <w:lvl w:ilvl="4" w:tplc="75D60E5A" w:tentative="1">
      <w:start w:val="1"/>
      <w:numFmt w:val="bullet"/>
      <w:lvlText w:val="•"/>
      <w:lvlJc w:val="left"/>
      <w:pPr>
        <w:tabs>
          <w:tab w:val="num" w:pos="3600"/>
        </w:tabs>
        <w:ind w:left="3600" w:hanging="360"/>
      </w:pPr>
      <w:rPr>
        <w:rFonts w:ascii="Arial" w:hAnsi="Arial" w:hint="default"/>
      </w:rPr>
    </w:lvl>
    <w:lvl w:ilvl="5" w:tplc="D096B438" w:tentative="1">
      <w:start w:val="1"/>
      <w:numFmt w:val="bullet"/>
      <w:lvlText w:val="•"/>
      <w:lvlJc w:val="left"/>
      <w:pPr>
        <w:tabs>
          <w:tab w:val="num" w:pos="4320"/>
        </w:tabs>
        <w:ind w:left="4320" w:hanging="360"/>
      </w:pPr>
      <w:rPr>
        <w:rFonts w:ascii="Arial" w:hAnsi="Arial" w:hint="default"/>
      </w:rPr>
    </w:lvl>
    <w:lvl w:ilvl="6" w:tplc="507C2AAC" w:tentative="1">
      <w:start w:val="1"/>
      <w:numFmt w:val="bullet"/>
      <w:lvlText w:val="•"/>
      <w:lvlJc w:val="left"/>
      <w:pPr>
        <w:tabs>
          <w:tab w:val="num" w:pos="5040"/>
        </w:tabs>
        <w:ind w:left="5040" w:hanging="360"/>
      </w:pPr>
      <w:rPr>
        <w:rFonts w:ascii="Arial" w:hAnsi="Arial" w:hint="default"/>
      </w:rPr>
    </w:lvl>
    <w:lvl w:ilvl="7" w:tplc="79D0ACE6" w:tentative="1">
      <w:start w:val="1"/>
      <w:numFmt w:val="bullet"/>
      <w:lvlText w:val="•"/>
      <w:lvlJc w:val="left"/>
      <w:pPr>
        <w:tabs>
          <w:tab w:val="num" w:pos="5760"/>
        </w:tabs>
        <w:ind w:left="5760" w:hanging="360"/>
      </w:pPr>
      <w:rPr>
        <w:rFonts w:ascii="Arial" w:hAnsi="Arial" w:hint="default"/>
      </w:rPr>
    </w:lvl>
    <w:lvl w:ilvl="8" w:tplc="8BA6FEAA" w:tentative="1">
      <w:start w:val="1"/>
      <w:numFmt w:val="bullet"/>
      <w:lvlText w:val="•"/>
      <w:lvlJc w:val="left"/>
      <w:pPr>
        <w:tabs>
          <w:tab w:val="num" w:pos="6480"/>
        </w:tabs>
        <w:ind w:left="6480" w:hanging="360"/>
      </w:pPr>
      <w:rPr>
        <w:rFonts w:ascii="Arial" w:hAnsi="Arial" w:hint="default"/>
      </w:rPr>
    </w:lvl>
  </w:abstractNum>
  <w:abstractNum w:abstractNumId="2">
    <w:nsid w:val="2EA82A56"/>
    <w:multiLevelType w:val="hybridMultilevel"/>
    <w:tmpl w:val="CD9ED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BF0E17"/>
    <w:multiLevelType w:val="hybridMultilevel"/>
    <w:tmpl w:val="92F0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C7F49"/>
    <w:multiLevelType w:val="hybridMultilevel"/>
    <w:tmpl w:val="D76E4B5E"/>
    <w:lvl w:ilvl="0" w:tplc="A95A7932">
      <w:start w:val="1"/>
      <w:numFmt w:val="bullet"/>
      <w:lvlText w:val="•"/>
      <w:lvlJc w:val="left"/>
      <w:pPr>
        <w:tabs>
          <w:tab w:val="num" w:pos="720"/>
        </w:tabs>
        <w:ind w:left="720" w:hanging="360"/>
      </w:pPr>
      <w:rPr>
        <w:rFonts w:ascii="Arial" w:hAnsi="Arial" w:hint="default"/>
      </w:rPr>
    </w:lvl>
    <w:lvl w:ilvl="1" w:tplc="02664C44" w:tentative="1">
      <w:start w:val="1"/>
      <w:numFmt w:val="bullet"/>
      <w:lvlText w:val="•"/>
      <w:lvlJc w:val="left"/>
      <w:pPr>
        <w:tabs>
          <w:tab w:val="num" w:pos="1440"/>
        </w:tabs>
        <w:ind w:left="1440" w:hanging="360"/>
      </w:pPr>
      <w:rPr>
        <w:rFonts w:ascii="Arial" w:hAnsi="Arial" w:hint="default"/>
      </w:rPr>
    </w:lvl>
    <w:lvl w:ilvl="2" w:tplc="538A28EE" w:tentative="1">
      <w:start w:val="1"/>
      <w:numFmt w:val="bullet"/>
      <w:lvlText w:val="•"/>
      <w:lvlJc w:val="left"/>
      <w:pPr>
        <w:tabs>
          <w:tab w:val="num" w:pos="2160"/>
        </w:tabs>
        <w:ind w:left="2160" w:hanging="360"/>
      </w:pPr>
      <w:rPr>
        <w:rFonts w:ascii="Arial" w:hAnsi="Arial" w:hint="default"/>
      </w:rPr>
    </w:lvl>
    <w:lvl w:ilvl="3" w:tplc="B96C1E86" w:tentative="1">
      <w:start w:val="1"/>
      <w:numFmt w:val="bullet"/>
      <w:lvlText w:val="•"/>
      <w:lvlJc w:val="left"/>
      <w:pPr>
        <w:tabs>
          <w:tab w:val="num" w:pos="2880"/>
        </w:tabs>
        <w:ind w:left="2880" w:hanging="360"/>
      </w:pPr>
      <w:rPr>
        <w:rFonts w:ascii="Arial" w:hAnsi="Arial" w:hint="default"/>
      </w:rPr>
    </w:lvl>
    <w:lvl w:ilvl="4" w:tplc="75D60E5A" w:tentative="1">
      <w:start w:val="1"/>
      <w:numFmt w:val="bullet"/>
      <w:lvlText w:val="•"/>
      <w:lvlJc w:val="left"/>
      <w:pPr>
        <w:tabs>
          <w:tab w:val="num" w:pos="3600"/>
        </w:tabs>
        <w:ind w:left="3600" w:hanging="360"/>
      </w:pPr>
      <w:rPr>
        <w:rFonts w:ascii="Arial" w:hAnsi="Arial" w:hint="default"/>
      </w:rPr>
    </w:lvl>
    <w:lvl w:ilvl="5" w:tplc="D096B438" w:tentative="1">
      <w:start w:val="1"/>
      <w:numFmt w:val="bullet"/>
      <w:lvlText w:val="•"/>
      <w:lvlJc w:val="left"/>
      <w:pPr>
        <w:tabs>
          <w:tab w:val="num" w:pos="4320"/>
        </w:tabs>
        <w:ind w:left="4320" w:hanging="360"/>
      </w:pPr>
      <w:rPr>
        <w:rFonts w:ascii="Arial" w:hAnsi="Arial" w:hint="default"/>
      </w:rPr>
    </w:lvl>
    <w:lvl w:ilvl="6" w:tplc="507C2AAC" w:tentative="1">
      <w:start w:val="1"/>
      <w:numFmt w:val="bullet"/>
      <w:lvlText w:val="•"/>
      <w:lvlJc w:val="left"/>
      <w:pPr>
        <w:tabs>
          <w:tab w:val="num" w:pos="5040"/>
        </w:tabs>
        <w:ind w:left="5040" w:hanging="360"/>
      </w:pPr>
      <w:rPr>
        <w:rFonts w:ascii="Arial" w:hAnsi="Arial" w:hint="default"/>
      </w:rPr>
    </w:lvl>
    <w:lvl w:ilvl="7" w:tplc="79D0ACE6" w:tentative="1">
      <w:start w:val="1"/>
      <w:numFmt w:val="bullet"/>
      <w:lvlText w:val="•"/>
      <w:lvlJc w:val="left"/>
      <w:pPr>
        <w:tabs>
          <w:tab w:val="num" w:pos="5760"/>
        </w:tabs>
        <w:ind w:left="5760" w:hanging="360"/>
      </w:pPr>
      <w:rPr>
        <w:rFonts w:ascii="Arial" w:hAnsi="Arial" w:hint="default"/>
      </w:rPr>
    </w:lvl>
    <w:lvl w:ilvl="8" w:tplc="8BA6FEAA" w:tentative="1">
      <w:start w:val="1"/>
      <w:numFmt w:val="bullet"/>
      <w:lvlText w:val="•"/>
      <w:lvlJc w:val="left"/>
      <w:pPr>
        <w:tabs>
          <w:tab w:val="num" w:pos="6480"/>
        </w:tabs>
        <w:ind w:left="6480" w:hanging="360"/>
      </w:pPr>
      <w:rPr>
        <w:rFonts w:ascii="Arial" w:hAnsi="Arial" w:hint="default"/>
      </w:rPr>
    </w:lvl>
  </w:abstractNum>
  <w:abstractNum w:abstractNumId="5">
    <w:nsid w:val="51781C1A"/>
    <w:multiLevelType w:val="hybridMultilevel"/>
    <w:tmpl w:val="8D94D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1D4138"/>
    <w:multiLevelType w:val="hybridMultilevel"/>
    <w:tmpl w:val="94F85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80A24"/>
    <w:multiLevelType w:val="hybridMultilevel"/>
    <w:tmpl w:val="52D89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621413"/>
    <w:multiLevelType w:val="hybridMultilevel"/>
    <w:tmpl w:val="C416F2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02C1D2D"/>
    <w:multiLevelType w:val="hybridMultilevel"/>
    <w:tmpl w:val="2256861A"/>
    <w:lvl w:ilvl="0" w:tplc="A88EC02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74A30BE"/>
    <w:multiLevelType w:val="hybridMultilevel"/>
    <w:tmpl w:val="6660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EE751A"/>
    <w:multiLevelType w:val="hybridMultilevel"/>
    <w:tmpl w:val="88D4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11"/>
  </w:num>
  <w:num w:numId="6">
    <w:abstractNumId w:val="8"/>
  </w:num>
  <w:num w:numId="7">
    <w:abstractNumId w:val="3"/>
  </w:num>
  <w:num w:numId="8">
    <w:abstractNumId w:val="2"/>
  </w:num>
  <w:num w:numId="9">
    <w:abstractNumId w:val="5"/>
  </w:num>
  <w:num w:numId="10">
    <w:abstractNumId w:val="4"/>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37"/>
    <w:rsid w:val="00007551"/>
    <w:rsid w:val="0005706B"/>
    <w:rsid w:val="000A5D3E"/>
    <w:rsid w:val="000F5A4E"/>
    <w:rsid w:val="00206EF5"/>
    <w:rsid w:val="0022097D"/>
    <w:rsid w:val="002306C5"/>
    <w:rsid w:val="002649F8"/>
    <w:rsid w:val="00274D49"/>
    <w:rsid w:val="0027706C"/>
    <w:rsid w:val="002913CC"/>
    <w:rsid w:val="002930B0"/>
    <w:rsid w:val="002A408F"/>
    <w:rsid w:val="002B31EF"/>
    <w:rsid w:val="00334CA6"/>
    <w:rsid w:val="003734A3"/>
    <w:rsid w:val="003821AE"/>
    <w:rsid w:val="003916FA"/>
    <w:rsid w:val="004E0060"/>
    <w:rsid w:val="0057401E"/>
    <w:rsid w:val="005C78B2"/>
    <w:rsid w:val="005E5FAF"/>
    <w:rsid w:val="00652137"/>
    <w:rsid w:val="00656AB8"/>
    <w:rsid w:val="00755CAB"/>
    <w:rsid w:val="00765385"/>
    <w:rsid w:val="00782D9C"/>
    <w:rsid w:val="00797D83"/>
    <w:rsid w:val="007C6CD1"/>
    <w:rsid w:val="007C78F0"/>
    <w:rsid w:val="007D08EB"/>
    <w:rsid w:val="008647AC"/>
    <w:rsid w:val="008E686F"/>
    <w:rsid w:val="00961016"/>
    <w:rsid w:val="009A61F6"/>
    <w:rsid w:val="009E5B33"/>
    <w:rsid w:val="00A73D58"/>
    <w:rsid w:val="00A74EE4"/>
    <w:rsid w:val="00A96E3E"/>
    <w:rsid w:val="00AE218D"/>
    <w:rsid w:val="00B74671"/>
    <w:rsid w:val="00BF1FF4"/>
    <w:rsid w:val="00BF6868"/>
    <w:rsid w:val="00CA2207"/>
    <w:rsid w:val="00CB0EE2"/>
    <w:rsid w:val="00D93CAD"/>
    <w:rsid w:val="00E32767"/>
    <w:rsid w:val="00EB72E9"/>
    <w:rsid w:val="00F17BD3"/>
    <w:rsid w:val="00F571F5"/>
    <w:rsid w:val="00F61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557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ajorBidi"/>
        <w:color w:val="000000"/>
        <w:kern w:val="28"/>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37"/>
    <w:pPr>
      <w:spacing w:line="240" w:lineRule="auto"/>
    </w:pPr>
    <w:rPr>
      <w:rFonts w:eastAsia="Times New Roman" w:cs="Times New Roman"/>
      <w:color w:val="auto"/>
      <w:kern w:val="0"/>
    </w:rPr>
  </w:style>
  <w:style w:type="paragraph" w:styleId="Heading1">
    <w:name w:val="heading 1"/>
    <w:basedOn w:val="Normal"/>
    <w:next w:val="Normal"/>
    <w:link w:val="Heading1Char"/>
    <w:qFormat/>
    <w:rsid w:val="0065213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137"/>
    <w:rPr>
      <w:rFonts w:eastAsia="Times New Roman" w:cs="Times New Roman"/>
      <w:color w:val="auto"/>
      <w:kern w:val="0"/>
      <w:u w:val="single"/>
    </w:rPr>
  </w:style>
  <w:style w:type="paragraph" w:styleId="ListParagraph">
    <w:name w:val="List Paragraph"/>
    <w:basedOn w:val="Normal"/>
    <w:uiPriority w:val="34"/>
    <w:qFormat/>
    <w:rsid w:val="00652137"/>
    <w:pPr>
      <w:ind w:left="720"/>
      <w:contextualSpacing/>
    </w:pPr>
  </w:style>
  <w:style w:type="character" w:styleId="Hyperlink">
    <w:name w:val="Hyperlink"/>
    <w:basedOn w:val="DefaultParagraphFont"/>
    <w:uiPriority w:val="99"/>
    <w:unhideWhenUsed/>
    <w:rsid w:val="00D93CAD"/>
    <w:rPr>
      <w:color w:val="CC9900" w:themeColor="hyperlink"/>
      <w:u w:val="single"/>
    </w:rPr>
  </w:style>
  <w:style w:type="character" w:styleId="FollowedHyperlink">
    <w:name w:val="FollowedHyperlink"/>
    <w:basedOn w:val="DefaultParagraphFont"/>
    <w:uiPriority w:val="99"/>
    <w:semiHidden/>
    <w:unhideWhenUsed/>
    <w:rsid w:val="008647AC"/>
    <w:rPr>
      <w:color w:val="96A9A9" w:themeColor="followedHyperlink"/>
      <w:u w:val="single"/>
    </w:rPr>
  </w:style>
  <w:style w:type="paragraph" w:styleId="Header">
    <w:name w:val="header"/>
    <w:basedOn w:val="Normal"/>
    <w:link w:val="HeaderChar"/>
    <w:uiPriority w:val="99"/>
    <w:unhideWhenUsed/>
    <w:rsid w:val="0027706C"/>
    <w:pPr>
      <w:tabs>
        <w:tab w:val="center" w:pos="4680"/>
        <w:tab w:val="right" w:pos="9360"/>
      </w:tabs>
    </w:pPr>
  </w:style>
  <w:style w:type="character" w:customStyle="1" w:styleId="HeaderChar">
    <w:name w:val="Header Char"/>
    <w:basedOn w:val="DefaultParagraphFont"/>
    <w:link w:val="Header"/>
    <w:uiPriority w:val="99"/>
    <w:rsid w:val="0027706C"/>
    <w:rPr>
      <w:rFonts w:eastAsia="Times New Roman" w:cs="Times New Roman"/>
      <w:color w:val="auto"/>
      <w:kern w:val="0"/>
    </w:rPr>
  </w:style>
  <w:style w:type="paragraph" w:styleId="Footer">
    <w:name w:val="footer"/>
    <w:basedOn w:val="Normal"/>
    <w:link w:val="FooterChar"/>
    <w:uiPriority w:val="99"/>
    <w:unhideWhenUsed/>
    <w:rsid w:val="0027706C"/>
    <w:pPr>
      <w:tabs>
        <w:tab w:val="center" w:pos="4680"/>
        <w:tab w:val="right" w:pos="9360"/>
      </w:tabs>
    </w:pPr>
  </w:style>
  <w:style w:type="character" w:customStyle="1" w:styleId="FooterChar">
    <w:name w:val="Footer Char"/>
    <w:basedOn w:val="DefaultParagraphFont"/>
    <w:link w:val="Footer"/>
    <w:uiPriority w:val="99"/>
    <w:rsid w:val="0027706C"/>
    <w:rPr>
      <w:rFonts w:eastAsia="Times New Roman" w:cs="Times New Roman"/>
      <w:color w:val="auto"/>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ajorBidi"/>
        <w:color w:val="000000"/>
        <w:kern w:val="28"/>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137"/>
    <w:pPr>
      <w:spacing w:line="240" w:lineRule="auto"/>
    </w:pPr>
    <w:rPr>
      <w:rFonts w:eastAsia="Times New Roman" w:cs="Times New Roman"/>
      <w:color w:val="auto"/>
      <w:kern w:val="0"/>
    </w:rPr>
  </w:style>
  <w:style w:type="paragraph" w:styleId="Heading1">
    <w:name w:val="heading 1"/>
    <w:basedOn w:val="Normal"/>
    <w:next w:val="Normal"/>
    <w:link w:val="Heading1Char"/>
    <w:qFormat/>
    <w:rsid w:val="00652137"/>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2137"/>
    <w:rPr>
      <w:rFonts w:eastAsia="Times New Roman" w:cs="Times New Roman"/>
      <w:color w:val="auto"/>
      <w:kern w:val="0"/>
      <w:u w:val="single"/>
    </w:rPr>
  </w:style>
  <w:style w:type="paragraph" w:styleId="ListParagraph">
    <w:name w:val="List Paragraph"/>
    <w:basedOn w:val="Normal"/>
    <w:uiPriority w:val="34"/>
    <w:qFormat/>
    <w:rsid w:val="00652137"/>
    <w:pPr>
      <w:ind w:left="720"/>
      <w:contextualSpacing/>
    </w:pPr>
  </w:style>
  <w:style w:type="character" w:styleId="Hyperlink">
    <w:name w:val="Hyperlink"/>
    <w:basedOn w:val="DefaultParagraphFont"/>
    <w:uiPriority w:val="99"/>
    <w:unhideWhenUsed/>
    <w:rsid w:val="00D93CAD"/>
    <w:rPr>
      <w:color w:val="CC9900" w:themeColor="hyperlink"/>
      <w:u w:val="single"/>
    </w:rPr>
  </w:style>
  <w:style w:type="character" w:styleId="FollowedHyperlink">
    <w:name w:val="FollowedHyperlink"/>
    <w:basedOn w:val="DefaultParagraphFont"/>
    <w:uiPriority w:val="99"/>
    <w:semiHidden/>
    <w:unhideWhenUsed/>
    <w:rsid w:val="008647AC"/>
    <w:rPr>
      <w:color w:val="96A9A9" w:themeColor="followedHyperlink"/>
      <w:u w:val="single"/>
    </w:rPr>
  </w:style>
  <w:style w:type="paragraph" w:styleId="Header">
    <w:name w:val="header"/>
    <w:basedOn w:val="Normal"/>
    <w:link w:val="HeaderChar"/>
    <w:uiPriority w:val="99"/>
    <w:unhideWhenUsed/>
    <w:rsid w:val="0027706C"/>
    <w:pPr>
      <w:tabs>
        <w:tab w:val="center" w:pos="4680"/>
        <w:tab w:val="right" w:pos="9360"/>
      </w:tabs>
    </w:pPr>
  </w:style>
  <w:style w:type="character" w:customStyle="1" w:styleId="HeaderChar">
    <w:name w:val="Header Char"/>
    <w:basedOn w:val="DefaultParagraphFont"/>
    <w:link w:val="Header"/>
    <w:uiPriority w:val="99"/>
    <w:rsid w:val="0027706C"/>
    <w:rPr>
      <w:rFonts w:eastAsia="Times New Roman" w:cs="Times New Roman"/>
      <w:color w:val="auto"/>
      <w:kern w:val="0"/>
    </w:rPr>
  </w:style>
  <w:style w:type="paragraph" w:styleId="Footer">
    <w:name w:val="footer"/>
    <w:basedOn w:val="Normal"/>
    <w:link w:val="FooterChar"/>
    <w:uiPriority w:val="99"/>
    <w:unhideWhenUsed/>
    <w:rsid w:val="0027706C"/>
    <w:pPr>
      <w:tabs>
        <w:tab w:val="center" w:pos="4680"/>
        <w:tab w:val="right" w:pos="9360"/>
      </w:tabs>
    </w:pPr>
  </w:style>
  <w:style w:type="character" w:customStyle="1" w:styleId="FooterChar">
    <w:name w:val="Footer Char"/>
    <w:basedOn w:val="DefaultParagraphFont"/>
    <w:link w:val="Footer"/>
    <w:uiPriority w:val="99"/>
    <w:rsid w:val="0027706C"/>
    <w:rPr>
      <w:rFonts w:eastAsia="Times New Roman" w:cs="Times New Roman"/>
      <w:color w:val="auto"/>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620891">
      <w:bodyDiv w:val="1"/>
      <w:marLeft w:val="0"/>
      <w:marRight w:val="0"/>
      <w:marTop w:val="0"/>
      <w:marBottom w:val="0"/>
      <w:divBdr>
        <w:top w:val="none" w:sz="0" w:space="0" w:color="auto"/>
        <w:left w:val="none" w:sz="0" w:space="0" w:color="auto"/>
        <w:bottom w:val="none" w:sz="0" w:space="0" w:color="auto"/>
        <w:right w:val="none" w:sz="0" w:space="0" w:color="auto"/>
      </w:divBdr>
      <w:divsChild>
        <w:div w:id="307172588">
          <w:marLeft w:val="446"/>
          <w:marRight w:val="0"/>
          <w:marTop w:val="0"/>
          <w:marBottom w:val="0"/>
          <w:divBdr>
            <w:top w:val="none" w:sz="0" w:space="0" w:color="auto"/>
            <w:left w:val="none" w:sz="0" w:space="0" w:color="auto"/>
            <w:bottom w:val="none" w:sz="0" w:space="0" w:color="auto"/>
            <w:right w:val="none" w:sz="0" w:space="0" w:color="auto"/>
          </w:divBdr>
        </w:div>
        <w:div w:id="681860247">
          <w:marLeft w:val="446"/>
          <w:marRight w:val="0"/>
          <w:marTop w:val="0"/>
          <w:marBottom w:val="0"/>
          <w:divBdr>
            <w:top w:val="none" w:sz="0" w:space="0" w:color="auto"/>
            <w:left w:val="none" w:sz="0" w:space="0" w:color="auto"/>
            <w:bottom w:val="none" w:sz="0" w:space="0" w:color="auto"/>
            <w:right w:val="none" w:sz="0" w:space="0" w:color="auto"/>
          </w:divBdr>
        </w:div>
        <w:div w:id="1289357649">
          <w:marLeft w:val="446"/>
          <w:marRight w:val="0"/>
          <w:marTop w:val="0"/>
          <w:marBottom w:val="0"/>
          <w:divBdr>
            <w:top w:val="none" w:sz="0" w:space="0" w:color="auto"/>
            <w:left w:val="none" w:sz="0" w:space="0" w:color="auto"/>
            <w:bottom w:val="none" w:sz="0" w:space="0" w:color="auto"/>
            <w:right w:val="none" w:sz="0" w:space="0" w:color="auto"/>
          </w:divBdr>
        </w:div>
        <w:div w:id="2072145340">
          <w:marLeft w:val="446"/>
          <w:marRight w:val="0"/>
          <w:marTop w:val="0"/>
          <w:marBottom w:val="0"/>
          <w:divBdr>
            <w:top w:val="none" w:sz="0" w:space="0" w:color="auto"/>
            <w:left w:val="none" w:sz="0" w:space="0" w:color="auto"/>
            <w:bottom w:val="none" w:sz="0" w:space="0" w:color="auto"/>
            <w:right w:val="none" w:sz="0" w:space="0" w:color="auto"/>
          </w:divBdr>
        </w:div>
        <w:div w:id="47680637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Petronko</dc:creator>
  <cp:lastModifiedBy>Howard Miskey</cp:lastModifiedBy>
  <cp:revision>2</cp:revision>
  <dcterms:created xsi:type="dcterms:W3CDTF">2013-11-14T14:34:00Z</dcterms:created>
  <dcterms:modified xsi:type="dcterms:W3CDTF">2013-11-14T14:34:00Z</dcterms:modified>
</cp:coreProperties>
</file>